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446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center"/>
        <w:rPr>
          <w:rFonts w:hint="eastAsia" w:ascii="Times New Roman" w:hAnsi="Times New Roman" w:eastAsia="仿宋" w:cs="Times New Roman"/>
          <w:b/>
          <w:bCs w:val="0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b/>
          <w:bCs w:val="0"/>
          <w:kern w:val="2"/>
          <w:sz w:val="30"/>
          <w:szCs w:val="30"/>
          <w:highlight w:val="none"/>
          <w:lang w:val="en-US" w:eastAsia="zh-CN" w:bidi="ar-SA"/>
        </w:rPr>
        <w:t>马来西亚博特拉大学 30 天学术访学项目</w:t>
      </w:r>
    </w:p>
    <w:p w14:paraId="218898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both"/>
        <w:rPr>
          <w:rFonts w:hint="eastAsia" w:ascii="Times New Roman" w:hAnsi="Times New Roman" w:eastAsia="仿宋" w:cs="Times New Roman"/>
          <w:b/>
          <w:b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b/>
          <w:bCs w:val="0"/>
          <w:kern w:val="2"/>
          <w:sz w:val="24"/>
          <w:szCs w:val="24"/>
          <w:highlight w:val="none"/>
          <w:lang w:val="en-US" w:eastAsia="zh-CN" w:bidi="ar-SA"/>
        </w:rPr>
        <w:t xml:space="preserve">一、学校简介    </w:t>
      </w:r>
    </w:p>
    <w:p w14:paraId="6C1FB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 xml:space="preserve"> 马来西亚博特拉大学（Universiti Putra Malaysia，简称UPM/博大），始建于1931年，至今具有80余年的历史，一所公立综合性研究型大学，是马来西亚五所研究性大学之一，也是马来西亚规模最大、在校人数最多的大学（约有5万余人）。主校区占地1103公顷，距吉隆坡市中心仅25公里。马来西亚博特拉大学在教育和研究领域拥有卓越且历史悠久的口碑，是一所在国际学术领域倍受认可的顶尖国立大学。博特拉大学的商科、农业和林业专业位居马来西亚第一，远超博特拉大学、马来西亚理科大学、马来西亚国立大学。2013年博特拉大学经济管理学院获得了AACSB顶级商学院认证，标志着马来西亚诞生了首个世界级商学院，其学术水平广受世界认可。根据QS于2025年的大学排名，博特拉大学的世界排名为148名，亚洲排名为25名，马来西亚公立大学排名第3名</w:t>
      </w:r>
    </w:p>
    <w:p w14:paraId="13F22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120015</wp:posOffset>
            </wp:positionV>
            <wp:extent cx="5266690" cy="2258060"/>
            <wp:effectExtent l="0" t="0" r="10160" b="8890"/>
            <wp:wrapSquare wrapText="bothSides"/>
            <wp:docPr id="1" name="图片 1" descr="547a50b5e014a7330e3dd3d15a695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47a50b5e014a7330e3dd3d15a69577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258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br w:type="textWrapping"/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二、项目概况</w:t>
      </w:r>
    </w:p>
    <w:p w14:paraId="14190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为深入推进高校国际化人才培养，响应国家 “一带一路” 教育合作倡议，丰富学生海外学习经历，提升学生学术英语、跨文化沟通、数字技术应用与创新创业综合能力，康泊仕教育联合马来西亚博特拉大学（UPM），特推出30 天海外学术访学项目。</w:t>
      </w:r>
    </w:p>
    <w:p w14:paraId="0EFB4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项目采用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名校课程 + 学术实践 + 文化体验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相结合的培养模式，依托博特拉大学优质教学资源，为高校搭建安全、规范、高效的国际交流渠道，助力学校提升国际化办学水平与人才培养质量。</w:t>
      </w:r>
    </w:p>
    <w:p w14:paraId="299EC8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textAlignment w:val="auto"/>
        <w:rPr>
          <w:rFonts w:hint="eastAsia" w:ascii="Times New Roman" w:hAnsi="Times New Roman" w:eastAsia="仿宋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  <w:t>三、合作院校资质</w:t>
      </w:r>
    </w:p>
    <w:p w14:paraId="66029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国际排名：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2026年QS 世界大学排名第 134 位，亚洲排名第 27 位，马来西亚国内排名第 2 位。</w:t>
      </w:r>
    </w:p>
    <w:p w14:paraId="57E61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院校属性：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马来西亚国立重点大学、五所重点综合研究型大学之一。</w:t>
      </w:r>
    </w:p>
    <w:p w14:paraId="16877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师资力量：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91% 教师拥有博士学位，为马来西亚师资实力最强高校。</w:t>
      </w:r>
    </w:p>
    <w:p w14:paraId="7FA9C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权威认证：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商学院获AACSB+EQUIS 双重认证，位列世界前 5% 顶级商学院。</w:t>
      </w:r>
    </w:p>
    <w:p w14:paraId="471EA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优势学科：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人工智能、大数据、电子工程、会计金融、营养学、农业等专业位居世界百强。</w:t>
      </w:r>
    </w:p>
    <w:p w14:paraId="374DF8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textAlignment w:val="auto"/>
        <w:rPr>
          <w:rFonts w:hint="eastAsia" w:ascii="Times New Roman" w:hAnsi="Times New Roman" w:eastAsia="仿宋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  <w:t>四、项目培养目标</w:t>
      </w:r>
    </w:p>
    <w:p w14:paraId="0B587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1.提升学生学术英语应用能力与跨文化沟通素养。</w:t>
      </w:r>
    </w:p>
    <w:p w14:paraId="4C6EA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2.系统学习创新创业、人工智能、大数据前沿知识与实践技能。</w:t>
      </w:r>
    </w:p>
    <w:p w14:paraId="02753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3.体验海外名校教学模式，增强国际视野与学术竞争力。</w:t>
      </w:r>
    </w:p>
    <w:p w14:paraId="0EE78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4.获得官方学习证书，丰富升学、就业与综合素质评价档案。</w:t>
      </w:r>
    </w:p>
    <w:p w14:paraId="2E9228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textAlignment w:val="auto"/>
        <w:rPr>
          <w:rFonts w:hint="eastAsia" w:ascii="Times New Roman" w:hAnsi="Times New Roman" w:eastAsia="仿宋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  <w:t>五、项目周期与课程安排</w:t>
      </w:r>
    </w:p>
    <w:p w14:paraId="767A0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项目时长：30 天；</w:t>
      </w:r>
    </w:p>
    <w:p w14:paraId="7C0B1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授课语言：全英文授课；</w:t>
      </w:r>
    </w:p>
    <w:p w14:paraId="4B0D7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授课地点：马来西亚博特拉大学校内</w:t>
      </w:r>
    </w:p>
    <w:p w14:paraId="252FEAD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textAlignment w:val="auto"/>
        <w:rPr>
          <w:rFonts w:hint="eastAsia" w:ascii="Times New Roman" w:hAnsi="Times New Roman" w:eastAsia="仿宋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  <w:t>（一）课程模块安排</w:t>
      </w:r>
    </w:p>
    <w:p w14:paraId="05705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第一周：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学术英语与跨文化沟通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，提升学术英语听说读写能力，强化国际交流礼仪与跨文化素养。</w:t>
      </w:r>
    </w:p>
    <w:p w14:paraId="5DE06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第二周：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创新驱动与创业实践前沿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，学习创新思维、商业模型、创业框架，提升商业分析与实践能力。</w:t>
      </w:r>
    </w:p>
    <w:p w14:paraId="4D135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第三周：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人工智能原理与应用前沿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，掌握 AI 基础理论、行业应用场景，建立技术与职业发展认知。</w:t>
      </w:r>
    </w:p>
    <w:p w14:paraId="01E48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第四周：</w:t>
      </w: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大数据技术与数据决策分析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，理解数据驱动决策逻辑，提升数据分析与业务应用能力。</w:t>
      </w:r>
    </w:p>
    <w:p w14:paraId="50F0AB8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textAlignment w:val="auto"/>
        <w:rPr>
          <w:rFonts w:hint="eastAsia" w:ascii="Times New Roman" w:hAnsi="Times New Roman" w:eastAsia="仿宋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  <w:t>（二）文化实践安排</w:t>
      </w:r>
    </w:p>
    <w:p w14:paraId="6D72D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项目期间设置了各种特色的文化课程。课余时间学生还可以亲自体验东南亚政治、经济、文化中心-吉隆坡的独特魅力，探访双子塔，独立广场。周末将组织学生前往马来西亚最古老的城市-马六甲，进行文化考察活动。</w:t>
      </w:r>
    </w:p>
    <w:p w14:paraId="60BB4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103505</wp:posOffset>
            </wp:positionV>
            <wp:extent cx="4638040" cy="2250440"/>
            <wp:effectExtent l="0" t="0" r="10160" b="16510"/>
            <wp:wrapSquare wrapText="bothSides"/>
            <wp:docPr id="2" name="图片 2" descr="de04c568c20dcbc62dfc0b021718b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e04c568c20dcbc62dfc0b021718b29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040" cy="2250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25B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</w:p>
    <w:p w14:paraId="35113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</w:p>
    <w:p w14:paraId="55B3F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</w:p>
    <w:p w14:paraId="2E05C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</w:p>
    <w:p w14:paraId="6C0B0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</w:p>
    <w:p w14:paraId="0C43A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</w:p>
    <w:p w14:paraId="5409B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</w:p>
    <w:p w14:paraId="17A5D26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textAlignment w:val="auto"/>
        <w:rPr>
          <w:rFonts w:hint="default" w:ascii="Times New Roman" w:hAnsi="Times New Roman" w:eastAsia="仿宋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  <w:t>（三）参考课程</w:t>
      </w:r>
    </w:p>
    <w:tbl>
      <w:tblPr>
        <w:tblStyle w:val="6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2848"/>
        <w:gridCol w:w="4047"/>
      </w:tblGrid>
      <w:tr w14:paraId="32DB0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01" w:type="dxa"/>
            <w:tcBorders>
              <w:top w:val="single" w:color="000000" w:themeColor="text1" w:sz="12" w:space="0"/>
              <w:left w:val="single" w:color="000000" w:themeColor="text1" w:sz="12" w:space="0"/>
              <w:bottom w:val="nil"/>
              <w:right w:val="nil"/>
            </w:tcBorders>
            <w:shd w:val="clear" w:color="auto" w:fill="44546A" w:themeFill="text2"/>
            <w:noWrap/>
          </w:tcPr>
          <w:p w14:paraId="5A67F2CF">
            <w:pPr>
              <w:snapToGrid w:val="0"/>
              <w:ind w:firstLine="241" w:firstLineChars="100"/>
              <w:jc w:val="center"/>
              <w:rPr>
                <w:rFonts w:hint="eastAsia" w:ascii="宋体" w:hAnsi="宋体" w:eastAsia="宋体" w:cs="宋体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日期</w:t>
            </w:r>
          </w:p>
        </w:tc>
        <w:tc>
          <w:tcPr>
            <w:tcW w:w="2848" w:type="dxa"/>
            <w:tcBorders>
              <w:top w:val="single" w:color="000000" w:themeColor="text1" w:sz="12" w:space="0"/>
              <w:left w:val="nil"/>
              <w:bottom w:val="nil"/>
              <w:right w:val="nil"/>
            </w:tcBorders>
            <w:shd w:val="clear" w:color="auto" w:fill="44546A" w:themeFill="text2"/>
            <w:noWrap/>
          </w:tcPr>
          <w:p w14:paraId="4750746C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周次</w:t>
            </w:r>
          </w:p>
        </w:tc>
        <w:tc>
          <w:tcPr>
            <w:tcW w:w="4047" w:type="dxa"/>
            <w:tcBorders>
              <w:top w:val="single" w:color="000000" w:themeColor="text1" w:sz="12" w:space="0"/>
              <w:left w:val="nil"/>
              <w:bottom w:val="nil"/>
              <w:right w:val="single" w:color="000000" w:themeColor="text1" w:sz="12" w:space="0"/>
            </w:tcBorders>
            <w:shd w:val="clear" w:color="auto" w:fill="44546A" w:themeFill="text2"/>
            <w:noWrap/>
          </w:tcPr>
          <w:p w14:paraId="748F2714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课程目标</w:t>
            </w:r>
          </w:p>
        </w:tc>
      </w:tr>
      <w:tr w14:paraId="47905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01" w:type="dxa"/>
            <w:tcBorders>
              <w:top w:val="nil"/>
              <w:left w:val="single" w:color="000000" w:themeColor="text1" w:sz="12" w:space="0"/>
              <w:bottom w:val="nil"/>
              <w:right w:val="nil"/>
            </w:tcBorders>
            <w:noWrap/>
            <w:vAlign w:val="center"/>
          </w:tcPr>
          <w:p w14:paraId="18B1E0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D1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05A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周日</w:t>
            </w:r>
          </w:p>
        </w:tc>
        <w:tc>
          <w:tcPr>
            <w:tcW w:w="4047" w:type="dxa"/>
            <w:tcBorders>
              <w:top w:val="nil"/>
              <w:left w:val="nil"/>
              <w:bottom w:val="nil"/>
              <w:right w:val="single" w:color="000000" w:themeColor="text1" w:sz="12" w:space="0"/>
            </w:tcBorders>
            <w:noWrap/>
          </w:tcPr>
          <w:p w14:paraId="22844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抵达马来西亚，入住酒店</w:t>
            </w:r>
          </w:p>
        </w:tc>
      </w:tr>
      <w:tr w14:paraId="25CC7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01" w:type="dxa"/>
            <w:tcBorders>
              <w:top w:val="nil"/>
              <w:left w:val="single" w:color="000000" w:themeColor="text1" w:sz="12" w:space="0"/>
              <w:bottom w:val="nil"/>
              <w:right w:val="nil"/>
            </w:tcBorders>
            <w:noWrap/>
            <w:vAlign w:val="center"/>
          </w:tcPr>
          <w:p w14:paraId="08156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D2-D6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44A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第一周</w:t>
            </w:r>
          </w:p>
          <w:p w14:paraId="5F272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学术英语与跨文化沟通</w:t>
            </w:r>
          </w:p>
        </w:tc>
        <w:tc>
          <w:tcPr>
            <w:tcW w:w="4047" w:type="dxa"/>
            <w:tcBorders>
              <w:top w:val="nil"/>
              <w:left w:val="nil"/>
              <w:bottom w:val="nil"/>
              <w:right w:val="single" w:color="000000" w:themeColor="text1" w:sz="12" w:space="0"/>
            </w:tcBorders>
            <w:noWrap/>
          </w:tcPr>
          <w:p w14:paraId="7BEBE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提升学术英语理解与表达能力</w:t>
            </w:r>
          </w:p>
          <w:p w14:paraId="24820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增强跨文化交流意识与沟通能力</w:t>
            </w:r>
          </w:p>
          <w:p w14:paraId="2C787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培养国际学习与学术交流素养</w:t>
            </w:r>
          </w:p>
        </w:tc>
      </w:tr>
      <w:tr w14:paraId="61AEF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01" w:type="dxa"/>
            <w:tcBorders>
              <w:top w:val="nil"/>
              <w:left w:val="single" w:color="000000" w:themeColor="text1" w:sz="12" w:space="0"/>
              <w:bottom w:val="nil"/>
              <w:right w:val="nil"/>
            </w:tcBorders>
            <w:noWrap/>
            <w:vAlign w:val="center"/>
          </w:tcPr>
          <w:p w14:paraId="52807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D7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86E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第一周六</w:t>
            </w:r>
          </w:p>
        </w:tc>
        <w:tc>
          <w:tcPr>
            <w:tcW w:w="4047" w:type="dxa"/>
            <w:tcBorders>
              <w:top w:val="nil"/>
              <w:left w:val="nil"/>
              <w:bottom w:val="nil"/>
              <w:right w:val="single" w:color="000000" w:themeColor="text1" w:sz="12" w:space="0"/>
            </w:tcBorders>
            <w:noWrap/>
          </w:tcPr>
          <w:p w14:paraId="5FFD8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环绕吉隆坡市中心</w:t>
            </w:r>
          </w:p>
          <w:p w14:paraId="371A1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参观独立广场和大钟楼、中央艺术坊</w:t>
            </w:r>
          </w:p>
          <w:p w14:paraId="42CD8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KLCC双子塔等</w:t>
            </w:r>
          </w:p>
        </w:tc>
      </w:tr>
      <w:tr w14:paraId="1E07F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01" w:type="dxa"/>
            <w:tcBorders>
              <w:top w:val="nil"/>
              <w:left w:val="single" w:color="000000" w:themeColor="text1" w:sz="12" w:space="0"/>
              <w:bottom w:val="nil"/>
              <w:right w:val="nil"/>
            </w:tcBorders>
            <w:noWrap/>
            <w:vAlign w:val="center"/>
          </w:tcPr>
          <w:p w14:paraId="7471C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D8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F4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第一周日</w:t>
            </w:r>
          </w:p>
        </w:tc>
        <w:tc>
          <w:tcPr>
            <w:tcW w:w="4047" w:type="dxa"/>
            <w:tcBorders>
              <w:top w:val="nil"/>
              <w:left w:val="nil"/>
              <w:bottom w:val="nil"/>
              <w:right w:val="single" w:color="000000" w:themeColor="text1" w:sz="12" w:space="0"/>
            </w:tcBorders>
            <w:noWrap/>
          </w:tcPr>
          <w:p w14:paraId="22833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休整和自由活动</w:t>
            </w:r>
          </w:p>
        </w:tc>
      </w:tr>
      <w:tr w14:paraId="28827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01" w:type="dxa"/>
            <w:tcBorders>
              <w:top w:val="nil"/>
              <w:left w:val="single" w:color="000000" w:themeColor="text1" w:sz="12" w:space="0"/>
              <w:bottom w:val="nil"/>
              <w:right w:val="nil"/>
            </w:tcBorders>
            <w:noWrap/>
            <w:vAlign w:val="center"/>
          </w:tcPr>
          <w:p w14:paraId="301AE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D9-D13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155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第二周</w:t>
            </w:r>
          </w:p>
          <w:p w14:paraId="584F4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创新驱动与创业实践</w:t>
            </w:r>
          </w:p>
        </w:tc>
        <w:tc>
          <w:tcPr>
            <w:tcW w:w="4047" w:type="dxa"/>
            <w:tcBorders>
              <w:top w:val="nil"/>
              <w:left w:val="nil"/>
              <w:bottom w:val="nil"/>
              <w:right w:val="single" w:color="000000" w:themeColor="text1" w:sz="12" w:space="0"/>
            </w:tcBorders>
            <w:noWrap/>
          </w:tcPr>
          <w:p w14:paraId="73FDA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理解创新思维的核心逻辑</w:t>
            </w:r>
          </w:p>
          <w:p w14:paraId="6511C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掌握创业的基本框架</w:t>
            </w:r>
          </w:p>
          <w:p w14:paraId="75F08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增强商业洞察力和分析能力</w:t>
            </w:r>
          </w:p>
        </w:tc>
      </w:tr>
      <w:tr w14:paraId="3F22C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01" w:type="dxa"/>
            <w:tcBorders>
              <w:top w:val="nil"/>
              <w:left w:val="single" w:color="000000" w:themeColor="text1" w:sz="12" w:space="0"/>
              <w:bottom w:val="nil"/>
              <w:right w:val="nil"/>
            </w:tcBorders>
            <w:noWrap/>
            <w:vAlign w:val="center"/>
          </w:tcPr>
          <w:p w14:paraId="61D6F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D14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F6D2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第二周六</w:t>
            </w:r>
          </w:p>
        </w:tc>
        <w:tc>
          <w:tcPr>
            <w:tcW w:w="4047" w:type="dxa"/>
            <w:tcBorders>
              <w:top w:val="nil"/>
              <w:left w:val="nil"/>
              <w:bottom w:val="nil"/>
              <w:right w:val="single" w:color="000000" w:themeColor="text1" w:sz="12" w:space="0"/>
            </w:tcBorders>
            <w:noWrap/>
          </w:tcPr>
          <w:p w14:paraId="6E39C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参观黑风洞、吉隆坡城市画廊</w:t>
            </w:r>
          </w:p>
          <w:p w14:paraId="50EA1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逛鬼仔巷</w:t>
            </w:r>
          </w:p>
        </w:tc>
      </w:tr>
      <w:tr w14:paraId="08854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01" w:type="dxa"/>
            <w:tcBorders>
              <w:top w:val="nil"/>
              <w:left w:val="single" w:color="000000" w:themeColor="text1" w:sz="12" w:space="0"/>
              <w:bottom w:val="nil"/>
              <w:right w:val="nil"/>
            </w:tcBorders>
            <w:noWrap/>
            <w:vAlign w:val="center"/>
          </w:tcPr>
          <w:p w14:paraId="7ECD4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D15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B29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第二周日</w:t>
            </w:r>
          </w:p>
        </w:tc>
        <w:tc>
          <w:tcPr>
            <w:tcW w:w="4047" w:type="dxa"/>
            <w:tcBorders>
              <w:top w:val="nil"/>
              <w:left w:val="nil"/>
              <w:bottom w:val="nil"/>
              <w:right w:val="single" w:color="000000" w:themeColor="text1" w:sz="12" w:space="0"/>
            </w:tcBorders>
            <w:noWrap/>
          </w:tcPr>
          <w:p w14:paraId="72E2F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休整和自由活动</w:t>
            </w:r>
          </w:p>
        </w:tc>
      </w:tr>
      <w:tr w14:paraId="1497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01" w:type="dxa"/>
            <w:tcBorders>
              <w:top w:val="nil"/>
              <w:left w:val="single" w:color="000000" w:themeColor="text1" w:sz="12" w:space="0"/>
              <w:bottom w:val="nil"/>
              <w:right w:val="nil"/>
            </w:tcBorders>
            <w:noWrap/>
            <w:vAlign w:val="center"/>
          </w:tcPr>
          <w:p w14:paraId="30E71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D16-D20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036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第三周</w:t>
            </w:r>
          </w:p>
          <w:p w14:paraId="75EBAA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人工智能原理与应用</w:t>
            </w:r>
          </w:p>
        </w:tc>
        <w:tc>
          <w:tcPr>
            <w:tcW w:w="4047" w:type="dxa"/>
            <w:tcBorders>
              <w:top w:val="nil"/>
              <w:left w:val="nil"/>
              <w:bottom w:val="nil"/>
              <w:right w:val="single" w:color="000000" w:themeColor="text1" w:sz="12" w:space="0"/>
            </w:tcBorders>
            <w:noWrap/>
          </w:tcPr>
          <w:p w14:paraId="6D0A4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理解人工智能的基本概念；</w:t>
            </w:r>
          </w:p>
          <w:p w14:paraId="3E0AF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探索人工智能在商业中的实际应用；</w:t>
            </w:r>
          </w:p>
          <w:p w14:paraId="44EB5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建立人工智能与职业发展的联系</w:t>
            </w:r>
          </w:p>
        </w:tc>
      </w:tr>
      <w:tr w14:paraId="360EC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01" w:type="dxa"/>
            <w:tcBorders>
              <w:top w:val="nil"/>
              <w:left w:val="single" w:color="000000" w:themeColor="text1" w:sz="12" w:space="0"/>
              <w:bottom w:val="nil"/>
              <w:right w:val="nil"/>
            </w:tcBorders>
            <w:noWrap/>
            <w:vAlign w:val="center"/>
          </w:tcPr>
          <w:p w14:paraId="13675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D21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6E4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第三周六</w:t>
            </w:r>
          </w:p>
        </w:tc>
        <w:tc>
          <w:tcPr>
            <w:tcW w:w="4047" w:type="dxa"/>
            <w:tcBorders>
              <w:top w:val="nil"/>
              <w:left w:val="nil"/>
              <w:bottom w:val="nil"/>
              <w:right w:val="single" w:color="000000" w:themeColor="text1" w:sz="12" w:space="0"/>
            </w:tcBorders>
            <w:noWrap/>
          </w:tcPr>
          <w:p w14:paraId="38933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十号胡同美食、阿罗街夜市</w:t>
            </w:r>
          </w:p>
          <w:p w14:paraId="685C3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逛吉隆坡星光大道商业区</w:t>
            </w:r>
          </w:p>
        </w:tc>
      </w:tr>
      <w:tr w14:paraId="280C3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01" w:type="dxa"/>
            <w:tcBorders>
              <w:top w:val="nil"/>
              <w:left w:val="single" w:color="000000" w:themeColor="text1" w:sz="12" w:space="0"/>
              <w:bottom w:val="nil"/>
              <w:right w:val="nil"/>
            </w:tcBorders>
            <w:noWrap/>
            <w:vAlign w:val="center"/>
          </w:tcPr>
          <w:p w14:paraId="7079E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D22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D22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第三周日</w:t>
            </w:r>
          </w:p>
        </w:tc>
        <w:tc>
          <w:tcPr>
            <w:tcW w:w="4047" w:type="dxa"/>
            <w:tcBorders>
              <w:top w:val="nil"/>
              <w:left w:val="nil"/>
              <w:bottom w:val="nil"/>
              <w:right w:val="single" w:color="000000" w:themeColor="text1" w:sz="12" w:space="0"/>
            </w:tcBorders>
            <w:noWrap/>
          </w:tcPr>
          <w:p w14:paraId="2E986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休整和自由活动</w:t>
            </w:r>
          </w:p>
        </w:tc>
      </w:tr>
      <w:tr w14:paraId="0D6A9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01" w:type="dxa"/>
            <w:tcBorders>
              <w:top w:val="nil"/>
              <w:left w:val="single" w:color="000000" w:themeColor="text1" w:sz="12" w:space="0"/>
              <w:bottom w:val="nil"/>
              <w:right w:val="nil"/>
            </w:tcBorders>
            <w:noWrap/>
            <w:vAlign w:val="center"/>
          </w:tcPr>
          <w:p w14:paraId="05634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D23-D27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C3C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第四周</w:t>
            </w:r>
          </w:p>
          <w:p w14:paraId="6A281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大数据技术</w:t>
            </w:r>
          </w:p>
        </w:tc>
        <w:tc>
          <w:tcPr>
            <w:tcW w:w="4047" w:type="dxa"/>
            <w:tcBorders>
              <w:top w:val="nil"/>
              <w:left w:val="nil"/>
              <w:bottom w:val="nil"/>
              <w:right w:val="single" w:color="000000" w:themeColor="text1" w:sz="12" w:space="0"/>
            </w:tcBorders>
            <w:noWrap/>
          </w:tcPr>
          <w:p w14:paraId="1F8B4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理解数据驱动的决策</w:t>
            </w:r>
          </w:p>
          <w:p w14:paraId="3D339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探索数据在业务运营中的价值</w:t>
            </w:r>
          </w:p>
          <w:p w14:paraId="7F918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培养数据分析与逻辑思维能力</w:t>
            </w:r>
          </w:p>
        </w:tc>
      </w:tr>
      <w:tr w14:paraId="4FAE3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01" w:type="dxa"/>
            <w:tcBorders>
              <w:top w:val="nil"/>
              <w:left w:val="single" w:color="000000" w:themeColor="text1" w:sz="12" w:space="0"/>
              <w:bottom w:val="nil"/>
              <w:right w:val="nil"/>
            </w:tcBorders>
            <w:noWrap/>
            <w:vAlign w:val="center"/>
          </w:tcPr>
          <w:p w14:paraId="19838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D28-29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896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第四周六日</w:t>
            </w:r>
          </w:p>
        </w:tc>
        <w:tc>
          <w:tcPr>
            <w:tcW w:w="4047" w:type="dxa"/>
            <w:tcBorders>
              <w:top w:val="nil"/>
              <w:left w:val="nil"/>
              <w:bottom w:val="nil"/>
              <w:right w:val="single" w:color="000000" w:themeColor="text1" w:sz="12" w:space="0"/>
            </w:tcBorders>
            <w:noWrap/>
          </w:tcPr>
          <w:p w14:paraId="56E90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马六甲古城游</w:t>
            </w:r>
          </w:p>
          <w:p w14:paraId="0767E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参观青云亭、荷兰红屋和圣保罗教堂</w:t>
            </w:r>
          </w:p>
          <w:p w14:paraId="4196C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马六甲克莱邦海滩和夜市</w:t>
            </w:r>
          </w:p>
        </w:tc>
      </w:tr>
      <w:tr w14:paraId="2BCFC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01" w:type="dxa"/>
            <w:tcBorders>
              <w:top w:val="nil"/>
              <w:left w:val="single" w:color="000000" w:themeColor="text1" w:sz="12" w:space="0"/>
              <w:bottom w:val="single" w:color="000000" w:themeColor="text1" w:sz="12" w:space="0"/>
              <w:right w:val="nil"/>
            </w:tcBorders>
            <w:noWrap/>
          </w:tcPr>
          <w:p w14:paraId="4C9A4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D30</w:t>
            </w:r>
          </w:p>
        </w:tc>
        <w:tc>
          <w:tcPr>
            <w:tcW w:w="2848" w:type="dxa"/>
            <w:tcBorders>
              <w:top w:val="nil"/>
              <w:left w:val="nil"/>
              <w:bottom w:val="single" w:color="000000" w:themeColor="text1" w:sz="12" w:space="0"/>
              <w:right w:val="nil"/>
            </w:tcBorders>
            <w:noWrap/>
          </w:tcPr>
          <w:p w14:paraId="54986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全天</w:t>
            </w:r>
          </w:p>
        </w:tc>
        <w:tc>
          <w:tcPr>
            <w:tcW w:w="4047" w:type="dxa"/>
            <w:tcBorders>
              <w:top w:val="nil"/>
              <w:left w:val="nil"/>
              <w:bottom w:val="single" w:color="000000" w:themeColor="text1" w:sz="12" w:space="0"/>
              <w:right w:val="single" w:color="000000" w:themeColor="text1" w:sz="12" w:space="0"/>
            </w:tcBorders>
            <w:noWrap/>
          </w:tcPr>
          <w:p w14:paraId="7535C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返程</w:t>
            </w:r>
          </w:p>
        </w:tc>
      </w:tr>
    </w:tbl>
    <w:p w14:paraId="2CDBA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注：课程与行程将根据境外实际情况合理调整，以最终确认为准。</w:t>
      </w:r>
    </w:p>
    <w:p w14:paraId="1B391EF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textAlignment w:val="auto"/>
        <w:rPr>
          <w:rFonts w:hint="eastAsia" w:ascii="Times New Roman" w:hAnsi="Times New Roman" w:eastAsia="仿宋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  <w:t>六、证书发放</w:t>
      </w:r>
    </w:p>
    <w:p w14:paraId="2F1F0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学生完成全部课程学习与任务要求后，由马来西亚博特拉大学颁发官方学习证明，可计入学生海外学习经历，纳入综合素质评价档案。</w:t>
      </w:r>
    </w:p>
    <w:p w14:paraId="5EAB2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</w:p>
    <w:p w14:paraId="6CEA7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</w:p>
    <w:p w14:paraId="1F404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七、服务与费用说明（14000元）</w:t>
      </w:r>
    </w:p>
    <w:p w14:paraId="364F9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（一）服务包含</w:t>
      </w:r>
    </w:p>
    <w:p w14:paraId="79974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博特拉大学官方课程费用、境外全程住宿费用、集体外出大巴交通及司机服务</w:t>
      </w:r>
    </w:p>
    <w:p w14:paraId="68F7E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外出活动带队老师服务、境外保险、境外全程管理与安全保障</w:t>
      </w:r>
    </w:p>
    <w:p w14:paraId="2211E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（二）服务不含</w:t>
      </w:r>
      <w:bookmarkStart w:id="0" w:name="_GoBack"/>
      <w:bookmarkEnd w:id="0"/>
    </w:p>
    <w:p w14:paraId="25880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中马往返国际机票费用、国内往返机场交通费用、餐饮及个人消费、自由活动及行程以外项目费用、因不可抗力产生的额外费用</w:t>
      </w:r>
    </w:p>
    <w:p w14:paraId="5695A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</w:p>
    <w:p w14:paraId="6C4A36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八．项目优势</w:t>
      </w:r>
    </w:p>
    <w:p w14:paraId="0C704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名校资源：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QS 前 150 强高校，师资与认证权威可靠。</w:t>
      </w:r>
    </w:p>
    <w:p w14:paraId="74A55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课程实用：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贴合新工科、新文科培养方向，内容前沿。</w:t>
      </w:r>
    </w:p>
    <w:p w14:paraId="61EAE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安全规范：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全程统一管理，符合高校境外交流管理要求。</w:t>
      </w:r>
    </w:p>
    <w:p w14:paraId="6E69C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证书认可：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官方学习证明，可计入学生海外学习经历。</w:t>
      </w:r>
    </w:p>
    <w:p w14:paraId="5D46D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灵活定制：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可根据院校专业需求定制课程模块。</w:t>
      </w:r>
    </w:p>
    <w:p w14:paraId="52754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流程便捷：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免签入境，手续简便。</w:t>
      </w:r>
    </w:p>
    <w:p w14:paraId="416FA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</w:p>
    <w:p w14:paraId="29A3B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九、合作支持</w:t>
      </w:r>
    </w:p>
    <w:p w14:paraId="39184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1. 提供项目备案、申报所需全套官方材料与合作函件。</w:t>
      </w:r>
    </w:p>
    <w:p w14:paraId="10190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2. 协助校内宣讲、学生组织、报名及行前培训。</w:t>
      </w:r>
    </w:p>
    <w:p w14:paraId="5C28C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3. 境外全程专人管理，24 小时应急保障。</w:t>
      </w:r>
    </w:p>
    <w:p w14:paraId="5D333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4. 支持整班、整院派出，提供团队专属服务与优惠。</w:t>
      </w:r>
    </w:p>
    <w:p w14:paraId="55585B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76197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E4D43"/>
    <w:rsid w:val="17E45ED4"/>
    <w:rsid w:val="199944A6"/>
    <w:rsid w:val="205A3978"/>
    <w:rsid w:val="21845A3B"/>
    <w:rsid w:val="2EB01C1E"/>
    <w:rsid w:val="2FD951A4"/>
    <w:rsid w:val="32D83E39"/>
    <w:rsid w:val="35496928"/>
    <w:rsid w:val="36E16658"/>
    <w:rsid w:val="381A45AC"/>
    <w:rsid w:val="38AD71CE"/>
    <w:rsid w:val="3A7C3E00"/>
    <w:rsid w:val="3BE802B1"/>
    <w:rsid w:val="3F9904AC"/>
    <w:rsid w:val="40095632"/>
    <w:rsid w:val="42F00D2B"/>
    <w:rsid w:val="48336883"/>
    <w:rsid w:val="50444D71"/>
    <w:rsid w:val="523955FA"/>
    <w:rsid w:val="53603363"/>
    <w:rsid w:val="53E2021C"/>
    <w:rsid w:val="55A434C9"/>
    <w:rsid w:val="55BE4D43"/>
    <w:rsid w:val="566D64C3"/>
    <w:rsid w:val="56CA1F5D"/>
    <w:rsid w:val="5BC36D9F"/>
    <w:rsid w:val="5D845E7A"/>
    <w:rsid w:val="5F061262"/>
    <w:rsid w:val="665E7BD6"/>
    <w:rsid w:val="67340937"/>
    <w:rsid w:val="6BF86550"/>
    <w:rsid w:val="705943E4"/>
    <w:rsid w:val="72C62D8B"/>
    <w:rsid w:val="72E75711"/>
    <w:rsid w:val="7C492337"/>
    <w:rsid w:val="7D0A5F6A"/>
    <w:rsid w:val="7E24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styleId="9">
    <w:name w:val="List Paragraph"/>
    <w:basedOn w:val="1"/>
    <w:qFormat/>
    <w:uiPriority w:val="1"/>
    <w:pPr>
      <w:spacing w:line="428" w:lineRule="exact"/>
      <w:ind w:left="556" w:hanging="420"/>
    </w:pPr>
    <w:rPr>
      <w:rFonts w:ascii="微软雅黑" w:hAnsi="微软雅黑" w:eastAsia="微软雅黑" w:cs="微软雅黑"/>
      <w:lang w:val="zh-CN" w:bidi="zh-CN"/>
    </w:rPr>
  </w:style>
  <w:style w:type="paragraph" w:customStyle="1" w:styleId="10">
    <w:name w:val="首行缩进"/>
    <w:basedOn w:val="1"/>
    <w:qFormat/>
    <w:uiPriority w:val="0"/>
    <w:pPr>
      <w:spacing w:line="360" w:lineRule="auto"/>
      <w:ind w:firstLine="480" w:firstLineChars="200"/>
    </w:pPr>
    <w:rPr>
      <w:rFonts w:hAnsi="宋体" w:eastAsia="宋体" w:cs="Arial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2012</Words>
  <Characters>2137</Characters>
  <Lines>0</Lines>
  <Paragraphs>0</Paragraphs>
  <TotalTime>1</TotalTime>
  <ScaleCrop>false</ScaleCrop>
  <LinksUpToDate>false</LinksUpToDate>
  <CharactersWithSpaces>2175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2026-03-17T09:26:00Z</dcterms:created>
  <dc:creator>Gu.</dc:creator>
  <cp:lastModifiedBy>Sher</cp:lastModifiedBy>
  <dcterms:modified xsi:type="dcterms:W3CDTF">2026-03-18T07:59:33Z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97E55A54884848168FC0BBC7F346A0A0_13</vt:lpwstr>
  </property>
  <property fmtid="{D5CDD505-2E9C-101B-9397-08002B2CF9AE}" pid="4" name="KSOTemplateDocerSaveRecord">
    <vt:lpwstr>eyJoZGlkIjoiZGM3MTE1ZjNiNjIzN2QwNGUwZjM3MjRhMzRkOWQ5MzEiLCJ1c2VySWQiOiIzMzYxNDM1MDAifQ==</vt:lpwstr>
  </property>
</Properties>
</file>